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F" w:rsidRPr="008657FF" w:rsidRDefault="008657FF" w:rsidP="008657FF">
      <w:pPr>
        <w:jc w:val="center"/>
        <w:rPr>
          <w:rFonts w:cstheme="minorHAnsi"/>
          <w:b/>
          <w:color w:val="000000" w:themeColor="text1"/>
          <w:sz w:val="72"/>
          <w:szCs w:val="72"/>
        </w:rPr>
      </w:pPr>
      <w:r w:rsidRPr="008657FF">
        <w:rPr>
          <w:rFonts w:cstheme="minorHAnsi"/>
          <w:b/>
          <w:color w:val="000000" w:themeColor="text1"/>
          <w:sz w:val="72"/>
          <w:szCs w:val="72"/>
        </w:rPr>
        <w:t xml:space="preserve">Office of Research </w:t>
      </w:r>
      <w:r w:rsidR="0036029E">
        <w:rPr>
          <w:rFonts w:cstheme="minorHAnsi"/>
          <w:b/>
          <w:color w:val="000000" w:themeColor="text1"/>
          <w:sz w:val="72"/>
          <w:szCs w:val="72"/>
        </w:rPr>
        <w:t>Integrity</w:t>
      </w:r>
    </w:p>
    <w:p w:rsidR="0064122B" w:rsidRDefault="0064122B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22B" w:rsidRDefault="0064122B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Pr="00B44886" w:rsidRDefault="007777D1" w:rsidP="000E2681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5642B">
        <w:rPr>
          <w:noProof/>
        </w:rPr>
        <w:drawing>
          <wp:inline distT="0" distB="0" distL="0" distR="0" wp14:anchorId="4DA71581" wp14:editId="1DF0C73D">
            <wp:extent cx="5518298" cy="2778908"/>
            <wp:effectExtent l="76200" t="76200" r="82550" b="78740"/>
            <wp:docPr id="2" name="Picture 2" descr="http://srf.elegant-universe.net/sites/default/files/public/blog-img/ResearchWordle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f.elegant-universe.net/sites/default/files/public/blog-img/ResearchWordle%5B1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40" cy="277877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9E" w:rsidRDefault="007777D1" w:rsidP="008657FF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2014-2015</w:t>
      </w:r>
    </w:p>
    <w:p w:rsidR="008657FF" w:rsidRPr="008657FF" w:rsidRDefault="008657FF" w:rsidP="008657FF">
      <w:pPr>
        <w:jc w:val="center"/>
        <w:rPr>
          <w:b/>
          <w:color w:val="000000" w:themeColor="text1"/>
          <w:sz w:val="72"/>
          <w:szCs w:val="72"/>
        </w:rPr>
      </w:pPr>
      <w:r w:rsidRPr="008657FF">
        <w:rPr>
          <w:b/>
          <w:color w:val="000000" w:themeColor="text1"/>
          <w:sz w:val="72"/>
          <w:szCs w:val="72"/>
        </w:rPr>
        <w:t xml:space="preserve"> Data Safety Monitoring Report</w:t>
      </w: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085" w:rsidRDefault="00C43085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D1" w:rsidRDefault="007777D1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D1" w:rsidRDefault="007777D1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D1" w:rsidRDefault="007777D1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D1" w:rsidRDefault="007777D1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D1" w:rsidRDefault="007777D1" w:rsidP="000E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9C" w:rsidRPr="000E2681" w:rsidRDefault="0033687D" w:rsidP="0064122B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0E2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March </w:t>
      </w:r>
      <w:r w:rsidR="007777D1">
        <w:rPr>
          <w:rFonts w:ascii="Times New Roman" w:hAnsi="Times New Roman" w:cs="Times New Roman"/>
          <w:b/>
          <w:sz w:val="28"/>
          <w:szCs w:val="28"/>
        </w:rPr>
        <w:t>6, 2015</w:t>
      </w:r>
    </w:p>
    <w:p w:rsidR="00AD7DFC" w:rsidRPr="000E2681" w:rsidRDefault="00AD7DFC" w:rsidP="000E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87D" w:rsidRDefault="001E104F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7777D1">
        <w:rPr>
          <w:rFonts w:ascii="Times New Roman" w:hAnsi="Times New Roman" w:cs="Times New Roman"/>
          <w:sz w:val="24"/>
          <w:szCs w:val="24"/>
        </w:rPr>
        <w:t xml:space="preserve">2014 </w:t>
      </w:r>
      <w:r w:rsidR="0033687D" w:rsidRPr="009713BD">
        <w:rPr>
          <w:rFonts w:ascii="Times New Roman" w:hAnsi="Times New Roman" w:cs="Times New Roman"/>
          <w:sz w:val="24"/>
          <w:szCs w:val="24"/>
        </w:rPr>
        <w:t xml:space="preserve">marked the beginning of audits for </w:t>
      </w:r>
      <w:r w:rsidR="00E05277">
        <w:rPr>
          <w:rFonts w:ascii="Times New Roman" w:hAnsi="Times New Roman" w:cs="Times New Roman"/>
          <w:sz w:val="24"/>
          <w:szCs w:val="24"/>
        </w:rPr>
        <w:t xml:space="preserve">the </w:t>
      </w:r>
      <w:r w:rsidR="00876081">
        <w:rPr>
          <w:rFonts w:ascii="Times New Roman" w:hAnsi="Times New Roman" w:cs="Times New Roman"/>
          <w:sz w:val="24"/>
          <w:szCs w:val="24"/>
        </w:rPr>
        <w:t>UNCG Data S</w:t>
      </w:r>
      <w:r w:rsidR="0033687D" w:rsidRPr="009713BD">
        <w:rPr>
          <w:rFonts w:ascii="Times New Roman" w:hAnsi="Times New Roman" w:cs="Times New Roman"/>
          <w:sz w:val="24"/>
          <w:szCs w:val="24"/>
        </w:rPr>
        <w:t xml:space="preserve">afety Monitoring (DSM) for </w:t>
      </w:r>
      <w:r w:rsidR="007777D1">
        <w:rPr>
          <w:rFonts w:ascii="Times New Roman" w:hAnsi="Times New Roman" w:cs="Times New Roman"/>
          <w:sz w:val="24"/>
          <w:szCs w:val="24"/>
        </w:rPr>
        <w:t>2014-2015</w:t>
      </w:r>
      <w:r w:rsidR="0033687D" w:rsidRPr="009713BD">
        <w:rPr>
          <w:rFonts w:ascii="Times New Roman" w:hAnsi="Times New Roman" w:cs="Times New Roman"/>
          <w:sz w:val="24"/>
          <w:szCs w:val="24"/>
        </w:rPr>
        <w:t xml:space="preserve"> </w:t>
      </w:r>
      <w:r w:rsidR="00E05277">
        <w:rPr>
          <w:rFonts w:ascii="Times New Roman" w:hAnsi="Times New Roman" w:cs="Times New Roman"/>
          <w:sz w:val="24"/>
          <w:szCs w:val="24"/>
        </w:rPr>
        <w:t>in compliance</w:t>
      </w:r>
      <w:r w:rsidR="0033687D" w:rsidRPr="009713BD">
        <w:rPr>
          <w:rFonts w:ascii="Times New Roman" w:hAnsi="Times New Roman" w:cs="Times New Roman"/>
          <w:sz w:val="24"/>
          <w:szCs w:val="24"/>
        </w:rPr>
        <w:t xml:space="preserve"> with the Institutional</w:t>
      </w:r>
      <w:r w:rsidR="00D66677" w:rsidRPr="009713BD">
        <w:rPr>
          <w:rFonts w:ascii="Times New Roman" w:hAnsi="Times New Roman" w:cs="Times New Roman"/>
          <w:sz w:val="24"/>
          <w:szCs w:val="24"/>
        </w:rPr>
        <w:t xml:space="preserve"> Review Board </w:t>
      </w:r>
      <w:r w:rsidR="0033687D" w:rsidRPr="009713BD">
        <w:rPr>
          <w:rFonts w:ascii="Times New Roman" w:hAnsi="Times New Roman" w:cs="Times New Roman"/>
          <w:sz w:val="24"/>
          <w:szCs w:val="24"/>
        </w:rPr>
        <w:t>DSM policy.</w:t>
      </w:r>
      <w:r w:rsidR="00DE4F6E" w:rsidRPr="009713BD">
        <w:rPr>
          <w:rFonts w:ascii="Times New Roman" w:hAnsi="Times New Roman" w:cs="Times New Roman"/>
          <w:sz w:val="24"/>
          <w:szCs w:val="24"/>
        </w:rPr>
        <w:t xml:space="preserve"> The audits were carried out by the Assistant Director of the Office of Research </w:t>
      </w:r>
      <w:r w:rsidR="0036029E">
        <w:rPr>
          <w:rFonts w:ascii="Times New Roman" w:hAnsi="Times New Roman" w:cs="Times New Roman"/>
          <w:sz w:val="24"/>
          <w:szCs w:val="24"/>
        </w:rPr>
        <w:t>Integrity</w:t>
      </w:r>
      <w:r w:rsidR="00DE4F6E" w:rsidRPr="009713BD">
        <w:rPr>
          <w:rFonts w:ascii="Times New Roman" w:hAnsi="Times New Roman" w:cs="Times New Roman"/>
          <w:sz w:val="24"/>
          <w:szCs w:val="24"/>
        </w:rPr>
        <w:t xml:space="preserve"> and were completed on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7777D1">
        <w:rPr>
          <w:rFonts w:ascii="Times New Roman" w:hAnsi="Times New Roman" w:cs="Times New Roman"/>
          <w:sz w:val="24"/>
          <w:szCs w:val="24"/>
        </w:rPr>
        <w:t>6, 2015</w:t>
      </w:r>
      <w:r w:rsidR="00DE4F6E" w:rsidRPr="009713BD">
        <w:rPr>
          <w:rFonts w:ascii="Times New Roman" w:hAnsi="Times New Roman" w:cs="Times New Roman"/>
          <w:sz w:val="24"/>
          <w:szCs w:val="24"/>
        </w:rPr>
        <w:t>.</w:t>
      </w:r>
      <w:r w:rsidR="001F0DDA">
        <w:rPr>
          <w:rFonts w:ascii="Times New Roman" w:hAnsi="Times New Roman" w:cs="Times New Roman"/>
          <w:sz w:val="24"/>
          <w:szCs w:val="24"/>
        </w:rPr>
        <w:t xml:space="preserve"> A majority of the audits were completed by December </w:t>
      </w:r>
      <w:r w:rsidR="007777D1">
        <w:rPr>
          <w:rFonts w:ascii="Times New Roman" w:hAnsi="Times New Roman" w:cs="Times New Roman"/>
          <w:sz w:val="24"/>
          <w:szCs w:val="24"/>
        </w:rPr>
        <w:t xml:space="preserve">2014 </w:t>
      </w:r>
      <w:r w:rsidR="001F0DDA">
        <w:rPr>
          <w:rFonts w:ascii="Times New Roman" w:hAnsi="Times New Roman" w:cs="Times New Roman"/>
          <w:sz w:val="24"/>
          <w:szCs w:val="24"/>
        </w:rPr>
        <w:t xml:space="preserve">with only </w:t>
      </w:r>
      <w:r w:rsidR="007777D1">
        <w:rPr>
          <w:rFonts w:ascii="Times New Roman" w:hAnsi="Times New Roman" w:cs="Times New Roman"/>
          <w:sz w:val="24"/>
          <w:szCs w:val="24"/>
        </w:rPr>
        <w:t xml:space="preserve">one </w:t>
      </w:r>
      <w:r w:rsidR="001F0DDA">
        <w:rPr>
          <w:rFonts w:ascii="Times New Roman" w:hAnsi="Times New Roman" w:cs="Times New Roman"/>
          <w:sz w:val="24"/>
          <w:szCs w:val="24"/>
        </w:rPr>
        <w:t xml:space="preserve">audit being conducted in January </w:t>
      </w:r>
      <w:r w:rsidR="007777D1">
        <w:rPr>
          <w:rFonts w:ascii="Times New Roman" w:hAnsi="Times New Roman" w:cs="Times New Roman"/>
          <w:sz w:val="24"/>
          <w:szCs w:val="24"/>
        </w:rPr>
        <w:t>2015</w:t>
      </w:r>
      <w:r w:rsidR="001F0DDA">
        <w:rPr>
          <w:rFonts w:ascii="Times New Roman" w:hAnsi="Times New Roman" w:cs="Times New Roman"/>
          <w:sz w:val="24"/>
          <w:szCs w:val="24"/>
        </w:rPr>
        <w:t>.</w:t>
      </w:r>
      <w:r w:rsidR="0077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81" w:rsidRPr="001A482C" w:rsidRDefault="000E2681" w:rsidP="000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06D" w:rsidRDefault="00DE4F6E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3BD">
        <w:rPr>
          <w:rFonts w:ascii="Times New Roman" w:hAnsi="Times New Roman" w:cs="Times New Roman"/>
          <w:sz w:val="24"/>
          <w:szCs w:val="24"/>
        </w:rPr>
        <w:t xml:space="preserve">The Office of Research </w:t>
      </w:r>
      <w:r w:rsidR="0036029E">
        <w:rPr>
          <w:rFonts w:ascii="Times New Roman" w:hAnsi="Times New Roman" w:cs="Times New Roman"/>
          <w:sz w:val="24"/>
          <w:szCs w:val="24"/>
        </w:rPr>
        <w:t>Integrity</w:t>
      </w:r>
      <w:r w:rsidRPr="009713BD">
        <w:rPr>
          <w:rFonts w:ascii="Times New Roman" w:hAnsi="Times New Roman" w:cs="Times New Roman"/>
          <w:sz w:val="24"/>
          <w:szCs w:val="24"/>
        </w:rPr>
        <w:t xml:space="preserve"> randomly selected 5% of all active, </w:t>
      </w:r>
      <w:r w:rsidR="00AF0B61">
        <w:rPr>
          <w:rFonts w:ascii="Times New Roman" w:hAnsi="Times New Roman" w:cs="Times New Roman"/>
          <w:sz w:val="24"/>
          <w:szCs w:val="24"/>
        </w:rPr>
        <w:t>e</w:t>
      </w:r>
      <w:r w:rsidR="00FC406D" w:rsidRPr="009713BD">
        <w:rPr>
          <w:rFonts w:ascii="Times New Roman" w:hAnsi="Times New Roman" w:cs="Times New Roman"/>
          <w:sz w:val="24"/>
          <w:szCs w:val="24"/>
        </w:rPr>
        <w:t xml:space="preserve">xpedited and </w:t>
      </w:r>
      <w:r w:rsidR="00517B21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FC406D" w:rsidRPr="009713BD">
        <w:rPr>
          <w:rFonts w:ascii="Times New Roman" w:hAnsi="Times New Roman" w:cs="Times New Roman"/>
          <w:sz w:val="24"/>
          <w:szCs w:val="24"/>
        </w:rPr>
        <w:t xml:space="preserve">ull Board </w:t>
      </w:r>
      <w:r w:rsidRPr="009713BD">
        <w:rPr>
          <w:rFonts w:ascii="Times New Roman" w:hAnsi="Times New Roman" w:cs="Times New Roman"/>
          <w:sz w:val="24"/>
          <w:szCs w:val="24"/>
        </w:rPr>
        <w:t xml:space="preserve">protocols. </w:t>
      </w:r>
      <w:r w:rsidR="00FC406D" w:rsidRPr="009713BD">
        <w:rPr>
          <w:rFonts w:ascii="Times New Roman" w:hAnsi="Times New Roman" w:cs="Times New Roman"/>
          <w:sz w:val="24"/>
          <w:szCs w:val="24"/>
        </w:rPr>
        <w:t xml:space="preserve"> This</w:t>
      </w:r>
      <w:r w:rsidR="00BF41C9">
        <w:rPr>
          <w:rFonts w:ascii="Times New Roman" w:hAnsi="Times New Roman" w:cs="Times New Roman"/>
          <w:sz w:val="24"/>
          <w:szCs w:val="24"/>
        </w:rPr>
        <w:t xml:space="preserve"> year</w:t>
      </w:r>
      <w:r w:rsidR="001F0DDA">
        <w:rPr>
          <w:rFonts w:ascii="Times New Roman" w:hAnsi="Times New Roman" w:cs="Times New Roman"/>
          <w:sz w:val="24"/>
          <w:szCs w:val="24"/>
        </w:rPr>
        <w:t>,</w:t>
      </w:r>
      <w:r w:rsidR="00BF41C9">
        <w:rPr>
          <w:rFonts w:ascii="Times New Roman" w:hAnsi="Times New Roman" w:cs="Times New Roman"/>
          <w:sz w:val="24"/>
          <w:szCs w:val="24"/>
        </w:rPr>
        <w:t xml:space="preserve"> </w:t>
      </w:r>
      <w:r w:rsidR="007777D1">
        <w:rPr>
          <w:rFonts w:ascii="Times New Roman" w:hAnsi="Times New Roman" w:cs="Times New Roman"/>
          <w:sz w:val="24"/>
          <w:szCs w:val="24"/>
        </w:rPr>
        <w:t>21</w:t>
      </w:r>
      <w:r w:rsidR="007777D1" w:rsidRPr="009713BD">
        <w:rPr>
          <w:rFonts w:ascii="Times New Roman" w:hAnsi="Times New Roman" w:cs="Times New Roman"/>
          <w:sz w:val="24"/>
          <w:szCs w:val="24"/>
        </w:rPr>
        <w:t xml:space="preserve"> </w:t>
      </w:r>
      <w:r w:rsidR="00FC406D" w:rsidRPr="009713BD">
        <w:rPr>
          <w:rFonts w:ascii="Times New Roman" w:hAnsi="Times New Roman" w:cs="Times New Roman"/>
          <w:sz w:val="24"/>
          <w:szCs w:val="24"/>
        </w:rPr>
        <w:t>research studies were reviewed.   The sample included funded, unfunded, faculty, and student research</w:t>
      </w:r>
      <w:r w:rsidR="00561368">
        <w:rPr>
          <w:rFonts w:ascii="Times New Roman" w:hAnsi="Times New Roman" w:cs="Times New Roman"/>
          <w:sz w:val="24"/>
          <w:szCs w:val="24"/>
        </w:rPr>
        <w:t xml:space="preserve"> </w:t>
      </w:r>
      <w:r w:rsidR="00AF0B61">
        <w:rPr>
          <w:rFonts w:ascii="Times New Roman" w:hAnsi="Times New Roman" w:cs="Times New Roman"/>
          <w:sz w:val="24"/>
          <w:szCs w:val="24"/>
        </w:rPr>
        <w:t>protocols</w:t>
      </w:r>
      <w:r w:rsidR="00FC406D" w:rsidRPr="009713BD">
        <w:rPr>
          <w:rFonts w:ascii="Times New Roman" w:hAnsi="Times New Roman" w:cs="Times New Roman"/>
          <w:sz w:val="24"/>
          <w:szCs w:val="24"/>
        </w:rPr>
        <w:t>.  Prior to the audits, each Principal Investigator (PI) was provided a pre-audit checklist to aid in their preparation.  Each audit was scheduled at the PI’s convenience and the Assistant Director followed the DSM checklist for human participants in research.</w:t>
      </w:r>
    </w:p>
    <w:p w:rsidR="000E2681" w:rsidRPr="001A482C" w:rsidRDefault="000E2681" w:rsidP="000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06D" w:rsidRPr="009713BD" w:rsidRDefault="00FC406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713BD">
        <w:rPr>
          <w:rFonts w:ascii="Times New Roman" w:hAnsi="Times New Roman" w:cs="Times New Roman"/>
          <w:sz w:val="24"/>
          <w:szCs w:val="24"/>
        </w:rPr>
        <w:t xml:space="preserve">Audits resulted in one or a combination of the following three outcomes: </w:t>
      </w:r>
      <w:r w:rsidR="00876081">
        <w:rPr>
          <w:rFonts w:ascii="Times New Roman" w:hAnsi="Times New Roman" w:cs="Times New Roman"/>
          <w:sz w:val="24"/>
          <w:szCs w:val="24"/>
        </w:rPr>
        <w:t>n</w:t>
      </w:r>
      <w:r w:rsidRPr="009713BD">
        <w:rPr>
          <w:rFonts w:ascii="Times New Roman" w:hAnsi="Times New Roman" w:cs="Times New Roman"/>
          <w:sz w:val="24"/>
          <w:szCs w:val="24"/>
        </w:rPr>
        <w:t xml:space="preserve">o problems, minor issues, or </w:t>
      </w:r>
      <w:r w:rsidR="001F0DDA">
        <w:rPr>
          <w:rFonts w:ascii="Times New Roman" w:hAnsi="Times New Roman" w:cs="Times New Roman"/>
          <w:sz w:val="24"/>
          <w:szCs w:val="24"/>
        </w:rPr>
        <w:t>significant</w:t>
      </w:r>
      <w:r w:rsidR="00977033">
        <w:rPr>
          <w:rFonts w:ascii="Times New Roman" w:hAnsi="Times New Roman" w:cs="Times New Roman"/>
          <w:sz w:val="24"/>
          <w:szCs w:val="24"/>
        </w:rPr>
        <w:t xml:space="preserve"> issues.  </w:t>
      </w:r>
      <w:r w:rsidR="007777D1">
        <w:rPr>
          <w:rFonts w:ascii="Times New Roman" w:hAnsi="Times New Roman" w:cs="Times New Roman"/>
          <w:sz w:val="24"/>
          <w:szCs w:val="24"/>
        </w:rPr>
        <w:t>As in previous years, some of the studies initially</w:t>
      </w:r>
      <w:r w:rsidR="00561368">
        <w:rPr>
          <w:rFonts w:ascii="Times New Roman" w:hAnsi="Times New Roman" w:cs="Times New Roman"/>
          <w:sz w:val="24"/>
          <w:szCs w:val="24"/>
        </w:rPr>
        <w:t xml:space="preserve"> </w:t>
      </w:r>
      <w:r w:rsidR="007777D1">
        <w:rPr>
          <w:rFonts w:ascii="Times New Roman" w:hAnsi="Times New Roman" w:cs="Times New Roman"/>
          <w:sz w:val="24"/>
          <w:szCs w:val="24"/>
        </w:rPr>
        <w:t>selected had to be replaced for a variety of reasons including</w:t>
      </w:r>
      <w:r w:rsidR="00AF0B61">
        <w:rPr>
          <w:rFonts w:ascii="Times New Roman" w:hAnsi="Times New Roman" w:cs="Times New Roman"/>
          <w:sz w:val="24"/>
          <w:szCs w:val="24"/>
        </w:rPr>
        <w:t>:</w:t>
      </w:r>
      <w:r w:rsidR="007777D1">
        <w:rPr>
          <w:rFonts w:ascii="Times New Roman" w:hAnsi="Times New Roman" w:cs="Times New Roman"/>
          <w:sz w:val="24"/>
          <w:szCs w:val="24"/>
        </w:rPr>
        <w:t xml:space="preserve"> the study being closed to enrollment, the study closing, or the student/PI no longer being at the institution. Each of these studies was replaced by another randomly selected study. </w:t>
      </w:r>
      <w:r w:rsidR="001E1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A0" w:rsidRDefault="00A14DA0" w:rsidP="000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06D" w:rsidRDefault="00FC406D" w:rsidP="000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3BD">
        <w:rPr>
          <w:rFonts w:ascii="Times New Roman" w:hAnsi="Times New Roman" w:cs="Times New Roman"/>
          <w:sz w:val="24"/>
          <w:szCs w:val="24"/>
        </w:rPr>
        <w:t xml:space="preserve">The </w:t>
      </w:r>
      <w:r w:rsidR="007F7F85">
        <w:rPr>
          <w:rFonts w:ascii="Times New Roman" w:hAnsi="Times New Roman" w:cs="Times New Roman"/>
          <w:sz w:val="24"/>
          <w:szCs w:val="24"/>
        </w:rPr>
        <w:t>charts below</w:t>
      </w:r>
      <w:r w:rsidRPr="009713BD">
        <w:rPr>
          <w:rFonts w:ascii="Times New Roman" w:hAnsi="Times New Roman" w:cs="Times New Roman"/>
          <w:sz w:val="24"/>
          <w:szCs w:val="24"/>
        </w:rPr>
        <w:t xml:space="preserve"> show</w:t>
      </w:r>
      <w:r w:rsidR="00BF41C9">
        <w:rPr>
          <w:rFonts w:ascii="Times New Roman" w:hAnsi="Times New Roman" w:cs="Times New Roman"/>
          <w:sz w:val="24"/>
          <w:szCs w:val="24"/>
        </w:rPr>
        <w:t xml:space="preserve"> the comparison between the </w:t>
      </w:r>
      <w:r w:rsidR="00473818">
        <w:rPr>
          <w:rFonts w:ascii="Times New Roman" w:hAnsi="Times New Roman" w:cs="Times New Roman"/>
          <w:sz w:val="24"/>
          <w:szCs w:val="24"/>
        </w:rPr>
        <w:t>2013-2014</w:t>
      </w:r>
      <w:r w:rsidR="00977033">
        <w:rPr>
          <w:rFonts w:ascii="Times New Roman" w:hAnsi="Times New Roman" w:cs="Times New Roman"/>
          <w:sz w:val="24"/>
          <w:szCs w:val="24"/>
        </w:rPr>
        <w:t xml:space="preserve"> audits </w:t>
      </w:r>
      <w:r w:rsidR="00AF0B61">
        <w:rPr>
          <w:rFonts w:ascii="Times New Roman" w:hAnsi="Times New Roman" w:cs="Times New Roman"/>
          <w:sz w:val="24"/>
          <w:szCs w:val="24"/>
        </w:rPr>
        <w:t>and:</w:t>
      </w:r>
    </w:p>
    <w:p w:rsidR="000E2681" w:rsidRPr="001A482C" w:rsidRDefault="000E2681" w:rsidP="000E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9"/>
        <w:gridCol w:w="1070"/>
        <w:gridCol w:w="1349"/>
        <w:gridCol w:w="1070"/>
        <w:gridCol w:w="1349"/>
      </w:tblGrid>
      <w:tr w:rsidR="00AD7DFC" w:rsidRPr="00E05277" w:rsidTr="00AD7DFC">
        <w:trPr>
          <w:trHeight w:val="315"/>
          <w:jc w:val="center"/>
        </w:trPr>
        <w:tc>
          <w:tcPr>
            <w:tcW w:w="0" w:type="auto"/>
            <w:noWrap/>
            <w:hideMark/>
          </w:tcPr>
          <w:p w:rsidR="00AD7DFC" w:rsidRDefault="00AD7DFC" w:rsidP="00137732">
            <w:pPr>
              <w:rPr>
                <w:sz w:val="24"/>
                <w:szCs w:val="24"/>
              </w:rPr>
            </w:pPr>
          </w:p>
          <w:p w:rsidR="00AD7DFC" w:rsidRPr="009713BD" w:rsidRDefault="00AD7DFC" w:rsidP="001377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AD7DFC" w:rsidRPr="009713BD" w:rsidRDefault="00C867CB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0" w:type="auto"/>
            <w:gridSpan w:val="2"/>
            <w:noWrap/>
            <w:hideMark/>
          </w:tcPr>
          <w:p w:rsidR="00AD7DFC" w:rsidRPr="009713BD" w:rsidRDefault="00C867CB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</w:tr>
      <w:tr w:rsidR="00AD7DFC" w:rsidRPr="00E05277" w:rsidTr="00AD7DFC">
        <w:trPr>
          <w:trHeight w:val="315"/>
          <w:jc w:val="center"/>
        </w:trPr>
        <w:tc>
          <w:tcPr>
            <w:tcW w:w="0" w:type="auto"/>
            <w:noWrap/>
            <w:hideMark/>
          </w:tcPr>
          <w:p w:rsidR="00AD7DFC" w:rsidRPr="009713BD" w:rsidRDefault="00AD7DFC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BD">
              <w:rPr>
                <w:b/>
                <w:bCs/>
                <w:sz w:val="24"/>
                <w:szCs w:val="24"/>
              </w:rPr>
              <w:t>DSM Status</w:t>
            </w:r>
          </w:p>
        </w:tc>
        <w:tc>
          <w:tcPr>
            <w:tcW w:w="0" w:type="auto"/>
            <w:noWrap/>
            <w:hideMark/>
          </w:tcPr>
          <w:p w:rsidR="00AD7DFC" w:rsidRPr="009713BD" w:rsidRDefault="00AD7DFC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B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noWrap/>
            <w:hideMark/>
          </w:tcPr>
          <w:p w:rsidR="00AD7DFC" w:rsidRPr="009713BD" w:rsidRDefault="00AD7DFC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BD">
              <w:rPr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auto"/>
            <w:noWrap/>
            <w:hideMark/>
          </w:tcPr>
          <w:p w:rsidR="00AD7DFC" w:rsidRPr="009713BD" w:rsidRDefault="00AD7DFC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B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0" w:type="auto"/>
            <w:noWrap/>
            <w:hideMark/>
          </w:tcPr>
          <w:p w:rsidR="00AD7DFC" w:rsidRPr="009713BD" w:rsidRDefault="00AD7DFC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 w:rsidRPr="009713BD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C867CB" w:rsidRPr="00E05277" w:rsidTr="000B1384">
        <w:trPr>
          <w:trHeight w:val="315"/>
          <w:jc w:val="center"/>
        </w:trPr>
        <w:tc>
          <w:tcPr>
            <w:tcW w:w="0" w:type="auto"/>
            <w:noWrap/>
            <w:hideMark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 w:rsidRPr="009713BD">
              <w:rPr>
                <w:sz w:val="24"/>
                <w:szCs w:val="24"/>
              </w:rPr>
              <w:t>No Problems</w:t>
            </w:r>
          </w:p>
        </w:tc>
        <w:tc>
          <w:tcPr>
            <w:tcW w:w="0" w:type="auto"/>
            <w:noWrap/>
          </w:tcPr>
          <w:p w:rsidR="00C867CB" w:rsidRPr="009713BD" w:rsidRDefault="00C867CB" w:rsidP="001E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noWrap/>
          </w:tcPr>
          <w:p w:rsidR="00C867CB" w:rsidRPr="009713BD" w:rsidRDefault="00C867CB" w:rsidP="001E1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</w:tcPr>
          <w:p w:rsidR="00C867CB" w:rsidRPr="00AE41C1" w:rsidRDefault="00C867CB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14%</w:t>
            </w:r>
          </w:p>
        </w:tc>
      </w:tr>
      <w:tr w:rsidR="00C867CB" w:rsidRPr="00E05277" w:rsidTr="001B738A">
        <w:trPr>
          <w:trHeight w:val="315"/>
          <w:jc w:val="center"/>
        </w:trPr>
        <w:tc>
          <w:tcPr>
            <w:tcW w:w="0" w:type="auto"/>
            <w:noWrap/>
            <w:hideMark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 w:rsidRPr="009713BD">
              <w:rPr>
                <w:sz w:val="24"/>
                <w:szCs w:val="24"/>
              </w:rPr>
              <w:t>Minor Issues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0" w:type="auto"/>
            <w:noWrap/>
          </w:tcPr>
          <w:p w:rsidR="00C867CB" w:rsidRPr="009713BD" w:rsidRDefault="00C867CB" w:rsidP="001B738A">
            <w:pPr>
              <w:tabs>
                <w:tab w:val="left" w:pos="255"/>
                <w:tab w:val="center" w:pos="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noWrap/>
          </w:tcPr>
          <w:p w:rsidR="00C867CB" w:rsidRPr="00AE41C1" w:rsidRDefault="00C867CB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86%</w:t>
            </w:r>
          </w:p>
        </w:tc>
      </w:tr>
      <w:tr w:rsidR="00C867CB" w:rsidRPr="00E05277" w:rsidTr="001B738A">
        <w:trPr>
          <w:trHeight w:val="315"/>
          <w:jc w:val="center"/>
        </w:trPr>
        <w:tc>
          <w:tcPr>
            <w:tcW w:w="0" w:type="auto"/>
            <w:noWrap/>
            <w:hideMark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 w:rsidRPr="009713BD">
              <w:rPr>
                <w:sz w:val="24"/>
                <w:szCs w:val="24"/>
              </w:rPr>
              <w:t>Substantive Issues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0" w:type="auto"/>
            <w:noWrap/>
          </w:tcPr>
          <w:p w:rsidR="00C867CB" w:rsidRPr="009713BD" w:rsidRDefault="00C867CB" w:rsidP="001B7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:rsidR="00C867CB" w:rsidRPr="00AE41C1" w:rsidRDefault="00C867CB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C867CB" w:rsidRPr="00E05277" w:rsidTr="00977033">
        <w:trPr>
          <w:trHeight w:val="315"/>
          <w:jc w:val="center"/>
        </w:trPr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Deficiencies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0" w:type="auto"/>
            <w:noWrap/>
          </w:tcPr>
          <w:p w:rsidR="00C867CB" w:rsidRPr="009713BD" w:rsidRDefault="00C867CB" w:rsidP="001B7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</w:tcPr>
          <w:p w:rsidR="00C867CB" w:rsidRPr="00AE41C1" w:rsidRDefault="00C867CB" w:rsidP="00C86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</w:tr>
      <w:tr w:rsidR="00C867CB" w:rsidRPr="00E05277" w:rsidTr="00977033">
        <w:trPr>
          <w:trHeight w:val="315"/>
          <w:jc w:val="center"/>
        </w:trPr>
        <w:tc>
          <w:tcPr>
            <w:tcW w:w="0" w:type="auto"/>
            <w:noWrap/>
          </w:tcPr>
          <w:p w:rsidR="00C867CB" w:rsidRPr="009713BD" w:rsidRDefault="00C867CB" w:rsidP="0013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C867CB" w:rsidDel="001E104F" w:rsidRDefault="00C867CB" w:rsidP="0013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</w:tcPr>
          <w:p w:rsidR="00C867CB" w:rsidRDefault="00C867CB" w:rsidP="00137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noWrap/>
          </w:tcPr>
          <w:p w:rsidR="00C867CB" w:rsidDel="001E104F" w:rsidRDefault="00C867CB" w:rsidP="001B7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C867CB" w:rsidRDefault="00C867CB" w:rsidP="001377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:rsidR="000516A4" w:rsidRDefault="00292AA9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AE8F74" wp14:editId="68C24348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6A4" w:rsidRDefault="00292AA9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9C21CE" wp14:editId="23C9D752">
            <wp:simplePos x="0" y="0"/>
            <wp:positionH relativeFrom="column">
              <wp:posOffset>5326380</wp:posOffset>
            </wp:positionH>
            <wp:positionV relativeFrom="paragraph">
              <wp:posOffset>69215</wp:posOffset>
            </wp:positionV>
            <wp:extent cx="45720" cy="45720"/>
            <wp:effectExtent l="0" t="0" r="49530" b="4953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6A4" w:rsidRDefault="000516A4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16A4" w:rsidRDefault="000516A4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25F74" w:rsidRDefault="001F0DDA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5F74" w:rsidRPr="009713BD">
        <w:rPr>
          <w:rFonts w:ascii="Times New Roman" w:hAnsi="Times New Roman" w:cs="Times New Roman"/>
          <w:sz w:val="24"/>
          <w:szCs w:val="24"/>
        </w:rPr>
        <w:t xml:space="preserve">ased on the above information, </w:t>
      </w:r>
      <w:r w:rsidR="007F7F85">
        <w:rPr>
          <w:rFonts w:ascii="Times New Roman" w:hAnsi="Times New Roman" w:cs="Times New Roman"/>
          <w:sz w:val="24"/>
          <w:szCs w:val="24"/>
        </w:rPr>
        <w:t>a</w:t>
      </w:r>
      <w:r w:rsidR="00725F74" w:rsidRPr="009713BD">
        <w:rPr>
          <w:rFonts w:ascii="Times New Roman" w:hAnsi="Times New Roman" w:cs="Times New Roman"/>
          <w:sz w:val="24"/>
          <w:szCs w:val="24"/>
        </w:rPr>
        <w:t xml:space="preserve"> large majority of </w:t>
      </w:r>
      <w:r w:rsidR="00C603E7" w:rsidRPr="009713BD">
        <w:rPr>
          <w:rFonts w:ascii="Times New Roman" w:hAnsi="Times New Roman" w:cs="Times New Roman"/>
          <w:sz w:val="24"/>
          <w:szCs w:val="24"/>
        </w:rPr>
        <w:t xml:space="preserve">the </w:t>
      </w:r>
      <w:r w:rsidR="006D08B5">
        <w:rPr>
          <w:rFonts w:ascii="Times New Roman" w:hAnsi="Times New Roman" w:cs="Times New Roman"/>
          <w:sz w:val="24"/>
          <w:szCs w:val="24"/>
        </w:rPr>
        <w:t>21</w:t>
      </w:r>
      <w:r w:rsidR="006D08B5" w:rsidRPr="009713BD">
        <w:rPr>
          <w:rFonts w:ascii="Times New Roman" w:hAnsi="Times New Roman" w:cs="Times New Roman"/>
          <w:sz w:val="24"/>
          <w:szCs w:val="24"/>
        </w:rPr>
        <w:t xml:space="preserve"> </w:t>
      </w:r>
      <w:r w:rsidR="00C603E7" w:rsidRPr="009713BD">
        <w:rPr>
          <w:rFonts w:ascii="Times New Roman" w:hAnsi="Times New Roman" w:cs="Times New Roman"/>
          <w:sz w:val="24"/>
          <w:szCs w:val="24"/>
        </w:rPr>
        <w:t xml:space="preserve">audits </w:t>
      </w:r>
      <w:r w:rsidR="00BF41C9">
        <w:rPr>
          <w:rFonts w:ascii="Times New Roman" w:hAnsi="Times New Roman" w:cs="Times New Roman"/>
          <w:sz w:val="24"/>
          <w:szCs w:val="24"/>
        </w:rPr>
        <w:t>(</w:t>
      </w:r>
      <w:r w:rsidR="006D08B5">
        <w:rPr>
          <w:rFonts w:ascii="Times New Roman" w:hAnsi="Times New Roman" w:cs="Times New Roman"/>
          <w:sz w:val="24"/>
          <w:szCs w:val="24"/>
        </w:rPr>
        <w:t>86</w:t>
      </w:r>
      <w:r w:rsidR="00C603E7" w:rsidRPr="00936AD2">
        <w:rPr>
          <w:rFonts w:ascii="Times New Roman" w:hAnsi="Times New Roman" w:cs="Times New Roman"/>
          <w:sz w:val="24"/>
          <w:szCs w:val="24"/>
        </w:rPr>
        <w:t>%)</w:t>
      </w:r>
      <w:r w:rsidR="00C603E7" w:rsidRPr="000E2681">
        <w:rPr>
          <w:rFonts w:ascii="Times New Roman" w:hAnsi="Times New Roman" w:cs="Times New Roman"/>
          <w:sz w:val="24"/>
          <w:szCs w:val="24"/>
        </w:rPr>
        <w:t xml:space="preserve"> </w:t>
      </w:r>
      <w:r w:rsidR="000516A4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minor issues, </w:t>
      </w:r>
      <w:r w:rsidR="000516A4">
        <w:rPr>
          <w:rFonts w:ascii="Times New Roman" w:hAnsi="Times New Roman" w:cs="Times New Roman"/>
          <w:sz w:val="24"/>
          <w:szCs w:val="24"/>
        </w:rPr>
        <w:t>which was an increase over last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8B5">
        <w:rPr>
          <w:rFonts w:ascii="Times New Roman" w:hAnsi="Times New Roman" w:cs="Times New Roman"/>
          <w:sz w:val="24"/>
          <w:szCs w:val="24"/>
        </w:rPr>
        <w:t xml:space="preserve">Three </w:t>
      </w:r>
      <w:r w:rsidR="000516A4">
        <w:rPr>
          <w:rFonts w:ascii="Times New Roman" w:hAnsi="Times New Roman" w:cs="Times New Roman"/>
          <w:sz w:val="24"/>
          <w:szCs w:val="24"/>
        </w:rPr>
        <w:t>of the audits went well with no issues</w:t>
      </w:r>
      <w:r w:rsidR="006D08B5">
        <w:rPr>
          <w:rFonts w:ascii="Times New Roman" w:hAnsi="Times New Roman" w:cs="Times New Roman"/>
          <w:sz w:val="24"/>
          <w:szCs w:val="24"/>
        </w:rPr>
        <w:t>, and there were no studies with substantive or significant issues.</w:t>
      </w:r>
    </w:p>
    <w:p w:rsidR="000E2681" w:rsidRPr="009713BD" w:rsidRDefault="000E2681" w:rsidP="001A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A1" w:rsidRDefault="00C603E7" w:rsidP="00BC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A1">
        <w:rPr>
          <w:rFonts w:ascii="Times New Roman" w:hAnsi="Times New Roman" w:cs="Times New Roman"/>
          <w:sz w:val="24"/>
          <w:szCs w:val="24"/>
        </w:rPr>
        <w:t xml:space="preserve">Minor issues were found in </w:t>
      </w:r>
      <w:r w:rsidR="006567D6" w:rsidRPr="00BC52A1">
        <w:rPr>
          <w:rFonts w:ascii="Times New Roman" w:hAnsi="Times New Roman" w:cs="Times New Roman"/>
          <w:sz w:val="24"/>
          <w:szCs w:val="24"/>
        </w:rPr>
        <w:t>eighteen (86%</w:t>
      </w:r>
      <w:r w:rsidR="00AF0B61" w:rsidRPr="00BC52A1">
        <w:rPr>
          <w:rFonts w:ascii="Times New Roman" w:hAnsi="Times New Roman" w:cs="Times New Roman"/>
          <w:sz w:val="24"/>
          <w:szCs w:val="24"/>
        </w:rPr>
        <w:t>) of</w:t>
      </w:r>
      <w:r w:rsidR="00E913E0">
        <w:rPr>
          <w:rFonts w:ascii="Times New Roman" w:hAnsi="Times New Roman" w:cs="Times New Roman"/>
          <w:sz w:val="24"/>
          <w:szCs w:val="24"/>
        </w:rPr>
        <w:t xml:space="preserve"> the protocols reviewed, i</w:t>
      </w:r>
      <w:r w:rsidR="00BC52A1" w:rsidRPr="00BC52A1">
        <w:rPr>
          <w:rFonts w:ascii="Times New Roman" w:hAnsi="Times New Roman" w:cs="Times New Roman"/>
          <w:sz w:val="24"/>
          <w:szCs w:val="24"/>
        </w:rPr>
        <w:t xml:space="preserve">ncluding such issues as: </w:t>
      </w:r>
    </w:p>
    <w:p w:rsidR="00BC52A1" w:rsidRDefault="00BC52A1" w:rsidP="00BC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E0" w:rsidRDefault="00BC52A1" w:rsidP="00BC52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A1">
        <w:rPr>
          <w:rFonts w:ascii="Times New Roman" w:hAnsi="Times New Roman" w:cs="Times New Roman"/>
          <w:sz w:val="24"/>
          <w:szCs w:val="24"/>
        </w:rPr>
        <w:t>Data not being stored per IRB protocol</w:t>
      </w:r>
    </w:p>
    <w:p w:rsidR="00BC52A1" w:rsidRPr="00BC52A1" w:rsidRDefault="00BC52A1" w:rsidP="00BC52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A1">
        <w:rPr>
          <w:rFonts w:ascii="Times New Roman" w:hAnsi="Times New Roman" w:cs="Times New Roman"/>
          <w:sz w:val="24"/>
          <w:szCs w:val="24"/>
        </w:rPr>
        <w:t>Changed data transfer plan without submitting a modification to the IRB</w:t>
      </w:r>
    </w:p>
    <w:p w:rsidR="00BC52A1" w:rsidRDefault="00BC52A1" w:rsidP="00BC52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2A1">
        <w:rPr>
          <w:rFonts w:ascii="Times New Roman" w:hAnsi="Times New Roman" w:cs="Times New Roman"/>
          <w:sz w:val="24"/>
          <w:szCs w:val="24"/>
        </w:rPr>
        <w:t xml:space="preserve">Consent forms were not being stored per protocol, participants signed a consent form without and IRB stamp, </w:t>
      </w:r>
    </w:p>
    <w:p w:rsidR="00BC52A1" w:rsidRPr="00BC52A1" w:rsidRDefault="00BC52A1" w:rsidP="00BC52A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C52A1">
        <w:rPr>
          <w:rFonts w:ascii="Times New Roman" w:hAnsi="Times New Roman" w:cs="Times New Roman"/>
          <w:sz w:val="24"/>
          <w:szCs w:val="24"/>
        </w:rPr>
        <w:t>consent form being signed during study expiration.</w:t>
      </w:r>
    </w:p>
    <w:p w:rsidR="00BC52A1" w:rsidRDefault="00BC52A1" w:rsidP="00BC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F12" w:rsidRDefault="006462A3" w:rsidP="00BC52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instances of minor issues, the researchers were educated by the IRB reviewer as to how to prevent these issues in the future.</w:t>
      </w:r>
      <w:r w:rsidR="00BB2F12">
        <w:rPr>
          <w:rFonts w:ascii="Times New Roman" w:hAnsi="Times New Roman" w:cs="Times New Roman"/>
          <w:sz w:val="24"/>
          <w:szCs w:val="24"/>
        </w:rPr>
        <w:t xml:space="preserve"> A few educational examples are as follows:</w:t>
      </w:r>
    </w:p>
    <w:p w:rsidR="00BB2F12" w:rsidRDefault="00BB2F12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61368" w:rsidRDefault="006462A3" w:rsidP="00BC52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3B">
        <w:rPr>
          <w:rFonts w:ascii="Times New Roman" w:hAnsi="Times New Roman" w:cs="Times New Roman"/>
          <w:sz w:val="24"/>
          <w:szCs w:val="24"/>
        </w:rPr>
        <w:t>The investigators that did not have participants sign an IRB stamped consent</w:t>
      </w:r>
      <w:r w:rsidR="0035069D">
        <w:rPr>
          <w:rFonts w:ascii="Times New Roman" w:hAnsi="Times New Roman" w:cs="Times New Roman"/>
          <w:sz w:val="24"/>
          <w:szCs w:val="24"/>
        </w:rPr>
        <w:t xml:space="preserve"> were educated by the reviewer that a stamped consent from the IRB must be used with all participants.</w:t>
      </w:r>
      <w:r w:rsidR="00561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68" w:rsidRDefault="00561368" w:rsidP="00561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69D" w:rsidRDefault="006462A3" w:rsidP="00BC52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</w:t>
      </w:r>
      <w:r w:rsidR="00CE7260">
        <w:rPr>
          <w:rFonts w:ascii="Times New Roman" w:hAnsi="Times New Roman" w:cs="Times New Roman"/>
          <w:sz w:val="24"/>
          <w:szCs w:val="24"/>
        </w:rPr>
        <w:t xml:space="preserve">investigators that did not have their data stored in the appropriate location were </w:t>
      </w:r>
      <w:r w:rsidR="008B36BD">
        <w:rPr>
          <w:rFonts w:ascii="Times New Roman" w:hAnsi="Times New Roman" w:cs="Times New Roman"/>
          <w:sz w:val="24"/>
          <w:szCs w:val="24"/>
        </w:rPr>
        <w:t>asked to submit modifications</w:t>
      </w:r>
      <w:r w:rsidR="008B36BD" w:rsidRPr="008B36BD">
        <w:rPr>
          <w:rFonts w:ascii="Times New Roman" w:hAnsi="Times New Roman" w:cs="Times New Roman"/>
          <w:sz w:val="24"/>
          <w:szCs w:val="24"/>
        </w:rPr>
        <w:t xml:space="preserve"> </w:t>
      </w:r>
      <w:r w:rsidR="008B36BD">
        <w:rPr>
          <w:rFonts w:ascii="Times New Roman" w:hAnsi="Times New Roman" w:cs="Times New Roman"/>
          <w:sz w:val="24"/>
          <w:szCs w:val="24"/>
        </w:rPr>
        <w:t>to revise their applications to be consistent with where they were storing their data</w:t>
      </w:r>
      <w:proofErr w:type="gramStart"/>
      <w:r w:rsidR="008B36B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B36BD">
        <w:rPr>
          <w:rFonts w:ascii="Times New Roman" w:hAnsi="Times New Roman" w:cs="Times New Roman"/>
          <w:sz w:val="24"/>
          <w:szCs w:val="24"/>
        </w:rPr>
        <w:t xml:space="preserve"> All data in these cases were being stored securely; however, they were not being stored per the IRB protocol submitted. </w:t>
      </w:r>
    </w:p>
    <w:p w:rsidR="008B36BD" w:rsidRDefault="008B36BD" w:rsidP="00561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6BD" w:rsidRDefault="008B36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researcher who had the participant that signed the consent form during the study expiration was asked by the reviewer to either have the participant re-sign the consent form or to destroy the study data. The reviewer also reviewed that no participants are to be enrolled or data collected during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expiration. The PI chose to destroy the participant’s data as the participant is no longer at UNCG. </w:t>
      </w:r>
    </w:p>
    <w:p w:rsidR="008B36BD" w:rsidRDefault="008B36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B36BD" w:rsidRDefault="008B36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researcher who changed their data transfer plan without submitting a modification to the IRB submitted a modification immediately following the DSM meeting. The reviewer discussed the importance of submitting a modification for change in data storage/transfer prior to implementing the new plan. </w:t>
      </w:r>
    </w:p>
    <w:p w:rsidR="0035069D" w:rsidRDefault="0035069D" w:rsidP="00BC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74E" w:rsidRDefault="00CA274E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no substantive or significant issues noted at any of the audits. </w:t>
      </w:r>
    </w:p>
    <w:p w:rsidR="00373350" w:rsidRDefault="00373350" w:rsidP="00855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3BD" w:rsidRPr="009713BD" w:rsidRDefault="009713BD" w:rsidP="001F0D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3BD">
        <w:rPr>
          <w:rFonts w:ascii="Times New Roman" w:hAnsi="Times New Roman" w:cs="Times New Roman"/>
          <w:sz w:val="24"/>
          <w:szCs w:val="24"/>
        </w:rPr>
        <w:t xml:space="preserve">This was the </w:t>
      </w:r>
      <w:r w:rsidR="00CA274E">
        <w:rPr>
          <w:rFonts w:ascii="Times New Roman" w:hAnsi="Times New Roman" w:cs="Times New Roman"/>
          <w:sz w:val="24"/>
          <w:szCs w:val="24"/>
        </w:rPr>
        <w:t>ninth</w:t>
      </w:r>
      <w:r w:rsidR="00CA274E" w:rsidRPr="009713BD">
        <w:rPr>
          <w:rFonts w:ascii="Times New Roman" w:hAnsi="Times New Roman" w:cs="Times New Roman"/>
          <w:sz w:val="24"/>
          <w:szCs w:val="24"/>
        </w:rPr>
        <w:t xml:space="preserve"> </w:t>
      </w:r>
      <w:r w:rsidRPr="009713BD">
        <w:rPr>
          <w:rFonts w:ascii="Times New Roman" w:hAnsi="Times New Roman" w:cs="Times New Roman"/>
          <w:sz w:val="24"/>
          <w:szCs w:val="24"/>
        </w:rPr>
        <w:t>campus</w:t>
      </w:r>
      <w:r w:rsidR="007F7F85">
        <w:rPr>
          <w:rFonts w:ascii="Times New Roman" w:hAnsi="Times New Roman" w:cs="Times New Roman"/>
          <w:sz w:val="24"/>
          <w:szCs w:val="24"/>
        </w:rPr>
        <w:t>-</w:t>
      </w:r>
      <w:r w:rsidRPr="009713BD">
        <w:rPr>
          <w:rFonts w:ascii="Times New Roman" w:hAnsi="Times New Roman" w:cs="Times New Roman"/>
          <w:sz w:val="24"/>
          <w:szCs w:val="24"/>
        </w:rPr>
        <w:t xml:space="preserve">wide DSM </w:t>
      </w:r>
      <w:r w:rsidR="00373350">
        <w:rPr>
          <w:rFonts w:ascii="Times New Roman" w:hAnsi="Times New Roman" w:cs="Times New Roman"/>
          <w:sz w:val="24"/>
          <w:szCs w:val="24"/>
        </w:rPr>
        <w:t>audit</w:t>
      </w:r>
      <w:r w:rsidRPr="009713BD">
        <w:rPr>
          <w:rFonts w:ascii="Times New Roman" w:hAnsi="Times New Roman" w:cs="Times New Roman"/>
          <w:sz w:val="24"/>
          <w:szCs w:val="24"/>
        </w:rPr>
        <w:t xml:space="preserve"> conducted at the University of North Carolina at Greensboro by the O</w:t>
      </w:r>
      <w:r w:rsidR="00137732">
        <w:rPr>
          <w:rFonts w:ascii="Times New Roman" w:hAnsi="Times New Roman" w:cs="Times New Roman"/>
          <w:sz w:val="24"/>
          <w:szCs w:val="24"/>
        </w:rPr>
        <w:t xml:space="preserve">ffice of Research </w:t>
      </w:r>
      <w:r w:rsidR="004B2719">
        <w:rPr>
          <w:rFonts w:ascii="Times New Roman" w:hAnsi="Times New Roman" w:cs="Times New Roman"/>
          <w:sz w:val="24"/>
          <w:szCs w:val="24"/>
        </w:rPr>
        <w:t>Integrity</w:t>
      </w:r>
      <w:r w:rsidR="00137732">
        <w:rPr>
          <w:rFonts w:ascii="Times New Roman" w:hAnsi="Times New Roman" w:cs="Times New Roman"/>
          <w:sz w:val="24"/>
          <w:szCs w:val="24"/>
        </w:rPr>
        <w:t xml:space="preserve">.  </w:t>
      </w:r>
      <w:r w:rsidRPr="009713BD">
        <w:rPr>
          <w:rFonts w:ascii="Times New Roman" w:hAnsi="Times New Roman" w:cs="Times New Roman"/>
          <w:sz w:val="24"/>
          <w:szCs w:val="24"/>
        </w:rPr>
        <w:t xml:space="preserve">The </w:t>
      </w:r>
      <w:r w:rsidR="004B2719">
        <w:rPr>
          <w:rFonts w:ascii="Times New Roman" w:hAnsi="Times New Roman" w:cs="Times New Roman"/>
          <w:sz w:val="24"/>
          <w:szCs w:val="24"/>
        </w:rPr>
        <w:t>ORI’s</w:t>
      </w:r>
      <w:r w:rsidRPr="009713BD">
        <w:rPr>
          <w:rFonts w:ascii="Times New Roman" w:hAnsi="Times New Roman" w:cs="Times New Roman"/>
          <w:sz w:val="24"/>
          <w:szCs w:val="24"/>
        </w:rPr>
        <w:t xml:space="preserve"> intention is for the DSM to be seen as a tool to educate both</w:t>
      </w:r>
      <w:r w:rsidR="0044697A">
        <w:rPr>
          <w:rFonts w:ascii="Times New Roman" w:hAnsi="Times New Roman" w:cs="Times New Roman"/>
          <w:sz w:val="24"/>
          <w:szCs w:val="24"/>
        </w:rPr>
        <w:t xml:space="preserve"> the IRB and the investigators </w:t>
      </w:r>
      <w:r w:rsidRPr="009713BD">
        <w:rPr>
          <w:rFonts w:ascii="Times New Roman" w:hAnsi="Times New Roman" w:cs="Times New Roman"/>
          <w:sz w:val="24"/>
          <w:szCs w:val="24"/>
        </w:rPr>
        <w:t xml:space="preserve">and </w:t>
      </w:r>
      <w:r w:rsidR="004B2719">
        <w:rPr>
          <w:rFonts w:ascii="Times New Roman" w:hAnsi="Times New Roman" w:cs="Times New Roman"/>
          <w:sz w:val="24"/>
          <w:szCs w:val="24"/>
        </w:rPr>
        <w:t>ensure that the research on this campus adheres to federal regulations and is ethically conducted.</w:t>
      </w:r>
      <w:r w:rsidRPr="009713BD">
        <w:rPr>
          <w:rFonts w:ascii="Times New Roman" w:hAnsi="Times New Roman" w:cs="Times New Roman"/>
          <w:sz w:val="24"/>
          <w:szCs w:val="24"/>
        </w:rPr>
        <w:t xml:space="preserve"> </w:t>
      </w:r>
      <w:r w:rsidR="00137732">
        <w:rPr>
          <w:rFonts w:ascii="Times New Roman" w:hAnsi="Times New Roman" w:cs="Times New Roman"/>
          <w:sz w:val="24"/>
          <w:szCs w:val="24"/>
        </w:rPr>
        <w:t xml:space="preserve"> </w:t>
      </w:r>
      <w:r w:rsidRPr="009713BD">
        <w:rPr>
          <w:rFonts w:ascii="Times New Roman" w:hAnsi="Times New Roman" w:cs="Times New Roman"/>
          <w:sz w:val="24"/>
          <w:szCs w:val="24"/>
        </w:rPr>
        <w:t>A formal recommendation based upon this year’s audit is noted below.</w:t>
      </w:r>
    </w:p>
    <w:p w:rsidR="009713BD" w:rsidRPr="009713BD" w:rsidRDefault="009713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13BD" w:rsidRPr="009713BD" w:rsidRDefault="009713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13BD" w:rsidRPr="00C62D41" w:rsidRDefault="009713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2D41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9713BD" w:rsidRPr="00C62D41" w:rsidRDefault="009713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13BD" w:rsidRPr="00C62D41" w:rsidRDefault="004B2719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Beck</w:t>
      </w:r>
      <w:r w:rsidR="00B55BD4">
        <w:rPr>
          <w:rFonts w:ascii="Times New Roman" w:hAnsi="Times New Roman" w:cs="Times New Roman"/>
          <w:sz w:val="24"/>
          <w:szCs w:val="24"/>
        </w:rPr>
        <w:t>, CIP, MHA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BD" w:rsidRPr="00C62D41" w:rsidRDefault="009713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2D41">
        <w:rPr>
          <w:rFonts w:ascii="Times New Roman" w:hAnsi="Times New Roman" w:cs="Times New Roman"/>
          <w:sz w:val="24"/>
          <w:szCs w:val="24"/>
        </w:rPr>
        <w:t>Assistant Director</w:t>
      </w:r>
    </w:p>
    <w:p w:rsidR="009713BD" w:rsidRPr="00C62D41" w:rsidRDefault="009713BD" w:rsidP="000E26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62D41">
        <w:rPr>
          <w:rFonts w:ascii="Times New Roman" w:hAnsi="Times New Roman" w:cs="Times New Roman"/>
          <w:sz w:val="24"/>
          <w:szCs w:val="24"/>
        </w:rPr>
        <w:t xml:space="preserve">Office of Research </w:t>
      </w:r>
      <w:r w:rsidR="004B2719">
        <w:rPr>
          <w:rFonts w:ascii="Times New Roman" w:hAnsi="Times New Roman" w:cs="Times New Roman"/>
          <w:sz w:val="24"/>
          <w:szCs w:val="24"/>
        </w:rPr>
        <w:t>Integrity</w:t>
      </w:r>
    </w:p>
    <w:p w:rsidR="00137732" w:rsidRDefault="0013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13BD" w:rsidRPr="00137732" w:rsidRDefault="009713BD" w:rsidP="00137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732">
        <w:rPr>
          <w:rFonts w:ascii="Times New Roman" w:hAnsi="Times New Roman" w:cs="Times New Roman"/>
          <w:sz w:val="28"/>
          <w:szCs w:val="28"/>
        </w:rPr>
        <w:lastRenderedPageBreak/>
        <w:t xml:space="preserve">Office of Research </w:t>
      </w:r>
      <w:r w:rsidR="001E342F">
        <w:rPr>
          <w:rFonts w:ascii="Times New Roman" w:hAnsi="Times New Roman" w:cs="Times New Roman"/>
          <w:sz w:val="28"/>
          <w:szCs w:val="28"/>
        </w:rPr>
        <w:t>Integrity</w:t>
      </w:r>
    </w:p>
    <w:p w:rsidR="009713BD" w:rsidRPr="00137732" w:rsidRDefault="009713BD" w:rsidP="0013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32">
        <w:rPr>
          <w:rFonts w:ascii="Times New Roman" w:hAnsi="Times New Roman" w:cs="Times New Roman"/>
          <w:b/>
          <w:sz w:val="28"/>
          <w:szCs w:val="28"/>
        </w:rPr>
        <w:t>Recommendation</w:t>
      </w:r>
      <w:r w:rsidR="00936AD2" w:rsidRPr="00137732">
        <w:rPr>
          <w:rFonts w:ascii="Times New Roman" w:hAnsi="Times New Roman" w:cs="Times New Roman"/>
          <w:b/>
          <w:sz w:val="28"/>
          <w:szCs w:val="28"/>
        </w:rPr>
        <w:t>s</w:t>
      </w:r>
      <w:r w:rsidRPr="00137732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936AD2" w:rsidRPr="0013773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37732">
        <w:rPr>
          <w:rFonts w:ascii="Times New Roman" w:hAnsi="Times New Roman" w:cs="Times New Roman"/>
          <w:b/>
          <w:sz w:val="28"/>
          <w:szCs w:val="28"/>
        </w:rPr>
        <w:t>IRB</w:t>
      </w:r>
    </w:p>
    <w:p w:rsidR="009713BD" w:rsidRPr="00137732" w:rsidRDefault="009713BD" w:rsidP="00137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350" w:rsidRDefault="009713BD" w:rsidP="00137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2D41">
        <w:rPr>
          <w:rFonts w:ascii="Times New Roman" w:hAnsi="Times New Roman" w:cs="Times New Roman"/>
          <w:sz w:val="24"/>
          <w:szCs w:val="24"/>
        </w:rPr>
        <w:t xml:space="preserve">The following report outlines the Data Safety Monitoring findings reported in the above report and with suggestions for corrective actions </w:t>
      </w:r>
      <w:r w:rsidR="00C023C5">
        <w:rPr>
          <w:rFonts w:ascii="Times New Roman" w:hAnsi="Times New Roman" w:cs="Times New Roman"/>
          <w:sz w:val="24"/>
          <w:szCs w:val="24"/>
        </w:rPr>
        <w:t xml:space="preserve">to </w:t>
      </w:r>
      <w:r w:rsidRPr="00C62D41">
        <w:rPr>
          <w:rFonts w:ascii="Times New Roman" w:hAnsi="Times New Roman" w:cs="Times New Roman"/>
          <w:sz w:val="24"/>
          <w:szCs w:val="24"/>
        </w:rPr>
        <w:t>further reduce the possibility of negative findings.</w:t>
      </w:r>
      <w:r w:rsidR="009D303B">
        <w:rPr>
          <w:rFonts w:ascii="Times New Roman" w:hAnsi="Times New Roman" w:cs="Times New Roman"/>
          <w:sz w:val="24"/>
          <w:szCs w:val="24"/>
        </w:rPr>
        <w:t xml:space="preserve"> </w:t>
      </w:r>
      <w:r w:rsidR="004B3847">
        <w:rPr>
          <w:rFonts w:ascii="Times New Roman" w:hAnsi="Times New Roman" w:cs="Times New Roman"/>
          <w:sz w:val="24"/>
          <w:szCs w:val="24"/>
        </w:rPr>
        <w:t xml:space="preserve">The new online system has a thorough application process </w:t>
      </w:r>
      <w:r w:rsidR="00373350">
        <w:rPr>
          <w:rFonts w:ascii="Times New Roman" w:hAnsi="Times New Roman" w:cs="Times New Roman"/>
          <w:sz w:val="24"/>
          <w:szCs w:val="24"/>
        </w:rPr>
        <w:t>and has been very beneficial to both the ORI and the UNCG researchers</w:t>
      </w:r>
      <w:r w:rsidR="004B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732" w:rsidRPr="00C62D41" w:rsidRDefault="00137732" w:rsidP="001A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4D7" w:rsidRDefault="00C904D7" w:rsidP="00137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2D41">
        <w:rPr>
          <w:rFonts w:ascii="Times New Roman" w:hAnsi="Times New Roman" w:cs="Times New Roman"/>
          <w:b/>
          <w:i/>
          <w:sz w:val="24"/>
          <w:szCs w:val="24"/>
          <w:u w:val="single"/>
        </w:rPr>
        <w:t>Minor Issues</w:t>
      </w:r>
    </w:p>
    <w:p w:rsidR="001A482C" w:rsidRPr="00C62D41" w:rsidRDefault="001A482C" w:rsidP="00137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535" w:rsidRDefault="00B36C7C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of the minor issues in this year’s audit were </w:t>
      </w:r>
      <w:r w:rsidR="00C66535">
        <w:rPr>
          <w:rFonts w:ascii="Times New Roman" w:hAnsi="Times New Roman" w:cs="Times New Roman"/>
          <w:sz w:val="24"/>
          <w:szCs w:val="24"/>
        </w:rPr>
        <w:t xml:space="preserve">issues that have been noted in previous audits. </w:t>
      </w:r>
    </w:p>
    <w:p w:rsidR="00C66535" w:rsidRDefault="00C66535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713BD" w:rsidRDefault="00B36C7C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noted </w:t>
      </w:r>
      <w:r w:rsidR="00C66535">
        <w:rPr>
          <w:rFonts w:ascii="Times New Roman" w:hAnsi="Times New Roman" w:cs="Times New Roman"/>
          <w:sz w:val="24"/>
          <w:szCs w:val="24"/>
        </w:rPr>
        <w:t>last year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B36C7C">
        <w:rPr>
          <w:rFonts w:ascii="Times New Roman" w:hAnsi="Times New Roman" w:cs="Times New Roman"/>
          <w:sz w:val="24"/>
          <w:szCs w:val="24"/>
        </w:rPr>
        <w:t>he ORI has increased the effort to make researchers aware of the requirement that participants sign an IRB stamped consent form by adding a statement to all outgoing emails that include recently approved consent forms that researchers must use an IRB stamped consent form when enrolling participants.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3B">
        <w:rPr>
          <w:rFonts w:ascii="Times New Roman" w:hAnsi="Times New Roman" w:cs="Times New Roman"/>
          <w:sz w:val="24"/>
          <w:szCs w:val="24"/>
        </w:rPr>
        <w:t xml:space="preserve">The ORI continues to </w:t>
      </w:r>
      <w:r w:rsidR="00C66535">
        <w:rPr>
          <w:rFonts w:ascii="Times New Roman" w:hAnsi="Times New Roman" w:cs="Times New Roman"/>
          <w:sz w:val="24"/>
          <w:szCs w:val="24"/>
        </w:rPr>
        <w:t xml:space="preserve">send out this statement with all emails containing new/revised consent documents in order to educate and remind </w:t>
      </w:r>
      <w:r w:rsidR="00ED2E3B">
        <w:rPr>
          <w:rFonts w:ascii="Times New Roman" w:hAnsi="Times New Roman" w:cs="Times New Roman"/>
          <w:sz w:val="24"/>
          <w:szCs w:val="24"/>
        </w:rPr>
        <w:t xml:space="preserve">the researchers of the importance of using a stamped consent form. </w:t>
      </w:r>
    </w:p>
    <w:p w:rsidR="00ED2E3B" w:rsidRDefault="00ED2E3B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2E3B" w:rsidRDefault="00ED2E3B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other minor issues included study team members not being added to or removed from the study via a modification. Each researcher was informed that this needed to be done at least once a semester, if not more often, to ensure that the application stays up to date. </w:t>
      </w:r>
    </w:p>
    <w:p w:rsidR="009D303B" w:rsidRDefault="009D303B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48D0" w:rsidRDefault="00A148D0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minor issues was regarding a participant who signed the consent form during a time when the study had expired. The expiration reminder email sent by the IRBIS system contains a statement that states that no research is to be conducted, data collected, or participants enrolled after as study has expired and until a renewal has been reviewed and approved. </w:t>
      </w:r>
    </w:p>
    <w:p w:rsidR="00C539AC" w:rsidRDefault="00C539AC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539AC" w:rsidRDefault="00C539AC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seems to be a continued need for clarity as to who on the research team should sign statements of confidentiality. Further communication in the form of an information</w:t>
      </w:r>
      <w:r w:rsidR="000A681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email or a decision tree would be beneficial in helping to clarify. </w:t>
      </w:r>
    </w:p>
    <w:p w:rsidR="00A148D0" w:rsidRDefault="00A148D0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D303B" w:rsidRDefault="009D303B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 also continues to make an effort to educate researchers and stress the importance of keeping statements of confidentiality on file for all study personnel. </w:t>
      </w:r>
      <w:r w:rsidR="00A148D0">
        <w:rPr>
          <w:rFonts w:ascii="Times New Roman" w:hAnsi="Times New Roman" w:cs="Times New Roman"/>
          <w:sz w:val="24"/>
          <w:szCs w:val="24"/>
        </w:rPr>
        <w:t>As mentioned in previous years, s</w:t>
      </w:r>
      <w:r w:rsidR="004329CE">
        <w:rPr>
          <w:rFonts w:ascii="Times New Roman" w:hAnsi="Times New Roman" w:cs="Times New Roman"/>
          <w:sz w:val="24"/>
          <w:szCs w:val="24"/>
        </w:rPr>
        <w:t>tandard language to remind PI’s of this</w:t>
      </w:r>
      <w:r w:rsidR="00A64B65">
        <w:rPr>
          <w:rFonts w:ascii="Times New Roman" w:hAnsi="Times New Roman" w:cs="Times New Roman"/>
          <w:sz w:val="24"/>
          <w:szCs w:val="24"/>
        </w:rPr>
        <w:t xml:space="preserve"> has been added to the online system to place in approval letters when appropriate. </w:t>
      </w:r>
    </w:p>
    <w:p w:rsidR="001A482C" w:rsidRPr="00C62D41" w:rsidRDefault="001A482C" w:rsidP="001A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BA" w:rsidRDefault="00B36C7C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reviewer discussed the data storage issues with </w:t>
      </w:r>
      <w:r w:rsidR="00CD604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CD6044">
        <w:rPr>
          <w:rFonts w:ascii="Times New Roman" w:hAnsi="Times New Roman" w:cs="Times New Roman"/>
          <w:sz w:val="24"/>
          <w:szCs w:val="24"/>
        </w:rPr>
        <w:t>principal investigators</w:t>
      </w:r>
      <w:r>
        <w:rPr>
          <w:rFonts w:ascii="Times New Roman" w:hAnsi="Times New Roman" w:cs="Times New Roman"/>
          <w:sz w:val="24"/>
          <w:szCs w:val="24"/>
        </w:rPr>
        <w:t xml:space="preserve">. The IRB applications </w:t>
      </w:r>
      <w:r w:rsidR="00C023C5">
        <w:rPr>
          <w:rFonts w:ascii="Times New Roman" w:hAnsi="Times New Roman" w:cs="Times New Roman"/>
          <w:sz w:val="24"/>
          <w:szCs w:val="24"/>
        </w:rPr>
        <w:t xml:space="preserve">and IRB reviewers </w:t>
      </w: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255721">
        <w:rPr>
          <w:rFonts w:ascii="Times New Roman" w:hAnsi="Times New Roman" w:cs="Times New Roman"/>
          <w:sz w:val="24"/>
          <w:szCs w:val="24"/>
        </w:rPr>
        <w:t>capture</w:t>
      </w:r>
      <w:r>
        <w:rPr>
          <w:rFonts w:ascii="Times New Roman" w:hAnsi="Times New Roman" w:cs="Times New Roman"/>
          <w:sz w:val="24"/>
          <w:szCs w:val="24"/>
        </w:rPr>
        <w:t xml:space="preserve"> where data are being store and ensure that data are stored securely. </w:t>
      </w:r>
    </w:p>
    <w:p w:rsidR="00ED2E3B" w:rsidRDefault="00ED2E3B" w:rsidP="00BC5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3B" w:rsidRDefault="00ED2E3B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reviewer also discussed with the researchers whose participants signed the incorrect version of the consent form, the importance of the participants signing the most recently approved version. The IRB </w:t>
      </w:r>
      <w:r w:rsidR="00A148D0">
        <w:rPr>
          <w:rFonts w:ascii="Times New Roman" w:hAnsi="Times New Roman" w:cs="Times New Roman"/>
          <w:sz w:val="24"/>
          <w:szCs w:val="24"/>
        </w:rPr>
        <w:t xml:space="preserve">continues to add the statement </w:t>
      </w:r>
      <w:r>
        <w:rPr>
          <w:rFonts w:ascii="Times New Roman" w:hAnsi="Times New Roman" w:cs="Times New Roman"/>
          <w:sz w:val="24"/>
          <w:szCs w:val="24"/>
        </w:rPr>
        <w:t xml:space="preserve">to modification emails containing the most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recently approved version of the consent by stating “this is now the most recently approved version and must be used with all participants”. </w:t>
      </w:r>
    </w:p>
    <w:p w:rsidR="00ED2E3B" w:rsidRDefault="00ED2E3B" w:rsidP="001377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221D" w:rsidRDefault="001E342F" w:rsidP="00BE05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05B7">
        <w:rPr>
          <w:rFonts w:ascii="Times New Roman" w:hAnsi="Times New Roman" w:cs="Times New Roman"/>
          <w:b/>
          <w:i/>
          <w:sz w:val="24"/>
          <w:szCs w:val="24"/>
        </w:rPr>
        <w:t xml:space="preserve">Future and Ongoing Efforts: </w:t>
      </w:r>
    </w:p>
    <w:p w:rsidR="001E342F" w:rsidRDefault="001E342F" w:rsidP="00BE05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3339" w:rsidRDefault="00533339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of Research Integrity continues to find creative ways to educate the UNCG campus. </w:t>
      </w:r>
    </w:p>
    <w:p w:rsidR="001E342F" w:rsidRDefault="001E342F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A3" w:rsidRDefault="001E342F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of Research Integrity also </w:t>
      </w:r>
      <w:r w:rsidR="00B55BD4">
        <w:rPr>
          <w:rFonts w:ascii="Times New Roman" w:hAnsi="Times New Roman" w:cs="Times New Roman"/>
          <w:sz w:val="24"/>
          <w:szCs w:val="24"/>
        </w:rPr>
        <w:t xml:space="preserve">continues </w:t>
      </w:r>
      <w:r>
        <w:rPr>
          <w:rFonts w:ascii="Times New Roman" w:hAnsi="Times New Roman" w:cs="Times New Roman"/>
          <w:sz w:val="24"/>
          <w:szCs w:val="24"/>
        </w:rPr>
        <w:t>to increase the educational efforts in regard to Responsible Conduct of Researc</w:t>
      </w:r>
      <w:r w:rsidR="00A148D0">
        <w:rPr>
          <w:rFonts w:ascii="Times New Roman" w:hAnsi="Times New Roman" w:cs="Times New Roman"/>
          <w:sz w:val="24"/>
          <w:szCs w:val="24"/>
        </w:rPr>
        <w:t>h</w:t>
      </w:r>
      <w:r w:rsidR="006462A3">
        <w:rPr>
          <w:rFonts w:ascii="Times New Roman" w:hAnsi="Times New Roman" w:cs="Times New Roman"/>
          <w:sz w:val="24"/>
          <w:szCs w:val="24"/>
        </w:rPr>
        <w:t xml:space="preserve"> (RCR).  This training is reflective of all areas of the responsible conduct of research training required by some NIH and NSF grants. RCR </w:t>
      </w:r>
      <w:r w:rsidR="00BB2F12">
        <w:rPr>
          <w:rFonts w:ascii="Times New Roman" w:hAnsi="Times New Roman" w:cs="Times New Roman"/>
          <w:sz w:val="24"/>
          <w:szCs w:val="24"/>
        </w:rPr>
        <w:t xml:space="preserve">covers many research areas including: conflict of interest, data management and ownership, and research misconduct. The RCR training covers many of the same </w:t>
      </w:r>
      <w:r w:rsidR="00561368">
        <w:rPr>
          <w:rFonts w:ascii="Times New Roman" w:hAnsi="Times New Roman" w:cs="Times New Roman"/>
          <w:sz w:val="24"/>
          <w:szCs w:val="24"/>
        </w:rPr>
        <w:t>topics</w:t>
      </w:r>
      <w:r w:rsidR="00BB2F12">
        <w:rPr>
          <w:rFonts w:ascii="Times New Roman" w:hAnsi="Times New Roman" w:cs="Times New Roman"/>
          <w:sz w:val="24"/>
          <w:szCs w:val="24"/>
        </w:rPr>
        <w:t xml:space="preserve"> that are reviewed during the DSM audits. Although research misconduct and non-compliance are not prevalent on the UNCG campus, the RCR training is a proactive measure that the ORI office is taking to prevent these issues.</w:t>
      </w:r>
    </w:p>
    <w:p w:rsidR="006462A3" w:rsidRDefault="006462A3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DE" w:rsidRDefault="006462A3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148D0">
        <w:rPr>
          <w:rFonts w:ascii="Times New Roman" w:hAnsi="Times New Roman" w:cs="Times New Roman"/>
          <w:sz w:val="24"/>
          <w:szCs w:val="24"/>
        </w:rPr>
        <w:t>hrough the “Slippery Slope Seminar” series</w:t>
      </w:r>
      <w:r>
        <w:rPr>
          <w:rFonts w:ascii="Times New Roman" w:hAnsi="Times New Roman" w:cs="Times New Roman"/>
          <w:sz w:val="24"/>
          <w:szCs w:val="24"/>
        </w:rPr>
        <w:t>, which the ORI office conducted from the spring 2014 semester to the spring 2015 semester, attendees were educated on a particular RCR topic at each session</w:t>
      </w:r>
      <w:r w:rsidR="00A148D0">
        <w:rPr>
          <w:rFonts w:ascii="Times New Roman" w:hAnsi="Times New Roman" w:cs="Times New Roman"/>
          <w:sz w:val="24"/>
          <w:szCs w:val="24"/>
        </w:rPr>
        <w:t xml:space="preserve">. To date, the ORI has had four sessions on the following topics: Research Misconduct, Authorship, Conflict of Interest and Intellectual Property. A fifth session was scheduled for the fall 2014 </w:t>
      </w:r>
      <w:r w:rsidR="00B55BD4">
        <w:rPr>
          <w:rFonts w:ascii="Times New Roman" w:hAnsi="Times New Roman" w:cs="Times New Roman"/>
          <w:sz w:val="24"/>
          <w:szCs w:val="24"/>
        </w:rPr>
        <w:t>semester;</w:t>
      </w:r>
      <w:r w:rsidR="00A148D0">
        <w:rPr>
          <w:rFonts w:ascii="Times New Roman" w:hAnsi="Times New Roman" w:cs="Times New Roman"/>
          <w:sz w:val="24"/>
          <w:szCs w:val="24"/>
        </w:rPr>
        <w:t xml:space="preserve"> however, </w:t>
      </w:r>
      <w:r w:rsidR="00B55BD4">
        <w:rPr>
          <w:rFonts w:ascii="Times New Roman" w:hAnsi="Times New Roman" w:cs="Times New Roman"/>
          <w:sz w:val="24"/>
          <w:szCs w:val="24"/>
        </w:rPr>
        <w:t xml:space="preserve">the session </w:t>
      </w:r>
      <w:r w:rsidR="00A148D0">
        <w:rPr>
          <w:rFonts w:ascii="Times New Roman" w:hAnsi="Times New Roman" w:cs="Times New Roman"/>
          <w:sz w:val="24"/>
          <w:szCs w:val="24"/>
        </w:rPr>
        <w:t>had to be cancelled due to low enrollment. The low enrollment was thought to be due to the time of year the session was scheduled as it was scheduled only a week before Thanksgiving break and a few weeks b</w:t>
      </w:r>
      <w:r w:rsidR="00A103DE">
        <w:rPr>
          <w:rFonts w:ascii="Times New Roman" w:hAnsi="Times New Roman" w:cs="Times New Roman"/>
          <w:sz w:val="24"/>
          <w:szCs w:val="24"/>
        </w:rPr>
        <w:t xml:space="preserve">efore the end of the semester. </w:t>
      </w:r>
    </w:p>
    <w:p w:rsidR="00A103DE" w:rsidRDefault="00A103DE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DE" w:rsidRDefault="00A103DE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March, the Director of the ORI, the IRB Chair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 to further </w:t>
      </w:r>
      <w:r w:rsidR="00AF0B61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RCR training. We decided on conducting one session each semester which will last approximately 3-4 hours. The session will involve all RCR topics and will include a variety of speakers. Planning for this session is currently ongoing.</w:t>
      </w:r>
    </w:p>
    <w:p w:rsidR="00A103DE" w:rsidRDefault="00A103DE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42F" w:rsidRPr="001E342F" w:rsidRDefault="00A103DE" w:rsidP="00BE0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ORI office has also been pulling grant submissions </w:t>
      </w:r>
      <w:r w:rsidR="00AF0B61">
        <w:rPr>
          <w:rFonts w:ascii="Times New Roman" w:hAnsi="Times New Roman" w:cs="Times New Roman"/>
          <w:sz w:val="24"/>
          <w:szCs w:val="24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and have been sending informational emails to all PI’s whose studies may qualify for RCR training. </w:t>
      </w:r>
    </w:p>
    <w:sectPr w:rsidR="001E342F" w:rsidRPr="001E342F" w:rsidSect="007777D1">
      <w:pgSz w:w="12240" w:h="15840"/>
      <w:pgMar w:top="1440" w:right="1296" w:bottom="1296" w:left="1440" w:header="720" w:footer="720" w:gutter="0"/>
      <w:pgBorders w:display="firstPage" w:offsetFrom="page">
        <w:top w:val="single" w:sz="48" w:space="31" w:color="4F81BD" w:themeColor="accent1"/>
        <w:left w:val="single" w:sz="48" w:space="31" w:color="4F81BD" w:themeColor="accent1"/>
        <w:bottom w:val="single" w:sz="48" w:space="31" w:color="4F81BD" w:themeColor="accent1"/>
        <w:right w:val="single" w:sz="48" w:space="31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21" w:rsidRDefault="00C91621" w:rsidP="008657FF">
      <w:pPr>
        <w:spacing w:after="0" w:line="240" w:lineRule="auto"/>
      </w:pPr>
      <w:r>
        <w:separator/>
      </w:r>
    </w:p>
  </w:endnote>
  <w:endnote w:type="continuationSeparator" w:id="0">
    <w:p w:rsidR="00C91621" w:rsidRDefault="00C91621" w:rsidP="0086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21" w:rsidRDefault="00C91621" w:rsidP="008657FF">
      <w:pPr>
        <w:spacing w:after="0" w:line="240" w:lineRule="auto"/>
      </w:pPr>
      <w:r>
        <w:separator/>
      </w:r>
    </w:p>
  </w:footnote>
  <w:footnote w:type="continuationSeparator" w:id="0">
    <w:p w:rsidR="00C91621" w:rsidRDefault="00C91621" w:rsidP="0086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52DE"/>
    <w:multiLevelType w:val="hybridMultilevel"/>
    <w:tmpl w:val="F612A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70B0D"/>
    <w:multiLevelType w:val="hybridMultilevel"/>
    <w:tmpl w:val="3FF63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B778CE"/>
    <w:multiLevelType w:val="hybridMultilevel"/>
    <w:tmpl w:val="9AC4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0322A"/>
    <w:multiLevelType w:val="hybridMultilevel"/>
    <w:tmpl w:val="395C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F1415"/>
    <w:multiLevelType w:val="hybridMultilevel"/>
    <w:tmpl w:val="4B7E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959A3"/>
    <w:multiLevelType w:val="hybridMultilevel"/>
    <w:tmpl w:val="34B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79A4"/>
    <w:multiLevelType w:val="hybridMultilevel"/>
    <w:tmpl w:val="947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756B9"/>
    <w:multiLevelType w:val="hybridMultilevel"/>
    <w:tmpl w:val="8B3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D"/>
    <w:rsid w:val="000516A4"/>
    <w:rsid w:val="00084CE0"/>
    <w:rsid w:val="000A6819"/>
    <w:rsid w:val="000B1384"/>
    <w:rsid w:val="000E2681"/>
    <w:rsid w:val="000F62B5"/>
    <w:rsid w:val="00137732"/>
    <w:rsid w:val="001421C0"/>
    <w:rsid w:val="001A482C"/>
    <w:rsid w:val="001A6367"/>
    <w:rsid w:val="001B738A"/>
    <w:rsid w:val="001E104F"/>
    <w:rsid w:val="001E342F"/>
    <w:rsid w:val="001F0DDA"/>
    <w:rsid w:val="00255721"/>
    <w:rsid w:val="002849CB"/>
    <w:rsid w:val="00292AA9"/>
    <w:rsid w:val="00301CEF"/>
    <w:rsid w:val="0033687D"/>
    <w:rsid w:val="0035069D"/>
    <w:rsid w:val="0036029E"/>
    <w:rsid w:val="00373350"/>
    <w:rsid w:val="003769E8"/>
    <w:rsid w:val="003C3226"/>
    <w:rsid w:val="004120B7"/>
    <w:rsid w:val="004329CE"/>
    <w:rsid w:val="0044697A"/>
    <w:rsid w:val="00473818"/>
    <w:rsid w:val="00494F9C"/>
    <w:rsid w:val="004B2719"/>
    <w:rsid w:val="004B3847"/>
    <w:rsid w:val="00516DD7"/>
    <w:rsid w:val="00517B21"/>
    <w:rsid w:val="00524488"/>
    <w:rsid w:val="00533339"/>
    <w:rsid w:val="00537E84"/>
    <w:rsid w:val="00561368"/>
    <w:rsid w:val="006018FC"/>
    <w:rsid w:val="00610C2E"/>
    <w:rsid w:val="00616CDA"/>
    <w:rsid w:val="00636EF6"/>
    <w:rsid w:val="0064122B"/>
    <w:rsid w:val="00645F10"/>
    <w:rsid w:val="00646005"/>
    <w:rsid w:val="006462A3"/>
    <w:rsid w:val="006567D6"/>
    <w:rsid w:val="00676AF6"/>
    <w:rsid w:val="006A221D"/>
    <w:rsid w:val="006A7836"/>
    <w:rsid w:val="006D08B5"/>
    <w:rsid w:val="00725F74"/>
    <w:rsid w:val="00773568"/>
    <w:rsid w:val="00775292"/>
    <w:rsid w:val="007777D1"/>
    <w:rsid w:val="00783CED"/>
    <w:rsid w:val="007A0608"/>
    <w:rsid w:val="007C0132"/>
    <w:rsid w:val="007F45AA"/>
    <w:rsid w:val="007F7F85"/>
    <w:rsid w:val="00855758"/>
    <w:rsid w:val="008657FF"/>
    <w:rsid w:val="00876081"/>
    <w:rsid w:val="008B36BD"/>
    <w:rsid w:val="00936AD2"/>
    <w:rsid w:val="009713BD"/>
    <w:rsid w:val="00977033"/>
    <w:rsid w:val="009907A1"/>
    <w:rsid w:val="009A79B4"/>
    <w:rsid w:val="009D303B"/>
    <w:rsid w:val="009D4B6B"/>
    <w:rsid w:val="00A04585"/>
    <w:rsid w:val="00A103DE"/>
    <w:rsid w:val="00A148D0"/>
    <w:rsid w:val="00A14DA0"/>
    <w:rsid w:val="00A23492"/>
    <w:rsid w:val="00A3205A"/>
    <w:rsid w:val="00A64B65"/>
    <w:rsid w:val="00A86B81"/>
    <w:rsid w:val="00AB6D20"/>
    <w:rsid w:val="00AD7DFC"/>
    <w:rsid w:val="00AE41C1"/>
    <w:rsid w:val="00AF0B61"/>
    <w:rsid w:val="00AF1373"/>
    <w:rsid w:val="00B20C77"/>
    <w:rsid w:val="00B36C7C"/>
    <w:rsid w:val="00B44886"/>
    <w:rsid w:val="00B55BD4"/>
    <w:rsid w:val="00B6449C"/>
    <w:rsid w:val="00BB2F12"/>
    <w:rsid w:val="00BC1FC3"/>
    <w:rsid w:val="00BC52A1"/>
    <w:rsid w:val="00BE05B7"/>
    <w:rsid w:val="00BF41C9"/>
    <w:rsid w:val="00C023C5"/>
    <w:rsid w:val="00C303C0"/>
    <w:rsid w:val="00C32754"/>
    <w:rsid w:val="00C43085"/>
    <w:rsid w:val="00C539AC"/>
    <w:rsid w:val="00C5629C"/>
    <w:rsid w:val="00C603E7"/>
    <w:rsid w:val="00C62D41"/>
    <w:rsid w:val="00C66535"/>
    <w:rsid w:val="00C867CB"/>
    <w:rsid w:val="00C904D7"/>
    <w:rsid w:val="00C91621"/>
    <w:rsid w:val="00CA274E"/>
    <w:rsid w:val="00CD6044"/>
    <w:rsid w:val="00CE7260"/>
    <w:rsid w:val="00D30ABC"/>
    <w:rsid w:val="00D57289"/>
    <w:rsid w:val="00D66677"/>
    <w:rsid w:val="00D869F2"/>
    <w:rsid w:val="00DE4F6E"/>
    <w:rsid w:val="00E05277"/>
    <w:rsid w:val="00E26293"/>
    <w:rsid w:val="00E323BA"/>
    <w:rsid w:val="00E64867"/>
    <w:rsid w:val="00E85C45"/>
    <w:rsid w:val="00E913E0"/>
    <w:rsid w:val="00ED2E3B"/>
    <w:rsid w:val="00F16CF0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FF"/>
  </w:style>
  <w:style w:type="paragraph" w:styleId="Footer">
    <w:name w:val="footer"/>
    <w:basedOn w:val="Normal"/>
    <w:link w:val="FooterChar"/>
    <w:uiPriority w:val="99"/>
    <w:unhideWhenUsed/>
    <w:rsid w:val="008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FF"/>
  </w:style>
  <w:style w:type="character" w:styleId="CommentReference">
    <w:name w:val="annotation reference"/>
    <w:basedOn w:val="DefaultParagraphFont"/>
    <w:uiPriority w:val="99"/>
    <w:semiHidden/>
    <w:unhideWhenUsed/>
    <w:rsid w:val="0087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0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FF"/>
  </w:style>
  <w:style w:type="paragraph" w:styleId="Footer">
    <w:name w:val="footer"/>
    <w:basedOn w:val="Normal"/>
    <w:link w:val="FooterChar"/>
    <w:uiPriority w:val="99"/>
    <w:unhideWhenUsed/>
    <w:rsid w:val="00865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FF"/>
  </w:style>
  <w:style w:type="character" w:styleId="CommentReference">
    <w:name w:val="annotation reference"/>
    <w:basedOn w:val="DefaultParagraphFont"/>
    <w:uiPriority w:val="99"/>
    <w:semiHidden/>
    <w:unhideWhenUsed/>
    <w:rsid w:val="0087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0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val>
            <c:numRef>
              <c:f>Sheet1!$A$11:$A$14</c:f>
              <c:numCache>
                <c:formatCode>0%</c:formatCode>
                <c:ptCount val="4"/>
                <c:pt idx="0">
                  <c:v>0.2</c:v>
                </c:pt>
                <c:pt idx="1">
                  <c:v>0.75</c:v>
                </c:pt>
                <c:pt idx="2">
                  <c:v>0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Sheet1!$B$10</c:f>
              <c:strCache>
                <c:ptCount val="1"/>
                <c:pt idx="0">
                  <c:v>2014-215</c:v>
                </c:pt>
              </c:strCache>
            </c:strRef>
          </c:tx>
          <c:invertIfNegative val="0"/>
          <c:val>
            <c:numRef>
              <c:f>Sheet1!$B$11:$B$14</c:f>
              <c:numCache>
                <c:formatCode>0%</c:formatCode>
                <c:ptCount val="4"/>
                <c:pt idx="0">
                  <c:v>0.14000000000000001</c:v>
                </c:pt>
                <c:pt idx="1">
                  <c:v>0.86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43392"/>
        <c:axId val="37425920"/>
      </c:barChart>
      <c:catAx>
        <c:axId val="8364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37425920"/>
        <c:crosses val="autoZero"/>
        <c:auto val="1"/>
        <c:lblAlgn val="ctr"/>
        <c:lblOffset val="100"/>
        <c:noMultiLvlLbl val="0"/>
      </c:catAx>
      <c:valAx>
        <c:axId val="37425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64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Sheet1!$N$18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val>
            <c:numRef>
              <c:f>Sheet1!$N$19:$N$21</c:f>
              <c:numCache>
                <c:formatCode>0%</c:formatCode>
                <c:ptCount val="3"/>
                <c:pt idx="0">
                  <c:v>0.68</c:v>
                </c:pt>
                <c:pt idx="1">
                  <c:v>0.25</c:v>
                </c:pt>
                <c:pt idx="2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Sheet1!$O$18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val>
            <c:numRef>
              <c:f>Sheet1!$O$19:$O$21</c:f>
              <c:numCache>
                <c:formatCode>0%</c:formatCode>
                <c:ptCount val="3"/>
                <c:pt idx="0">
                  <c:v>0.2</c:v>
                </c:pt>
                <c:pt idx="1">
                  <c:v>0.75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440512"/>
        <c:axId val="37442304"/>
      </c:barChart>
      <c:catAx>
        <c:axId val="3744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442304"/>
        <c:crosses val="autoZero"/>
        <c:auto val="1"/>
        <c:lblAlgn val="ctr"/>
        <c:lblOffset val="100"/>
        <c:noMultiLvlLbl val="0"/>
      </c:catAx>
      <c:valAx>
        <c:axId val="37442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744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0.12292</cdr:x>
      <cdr:y>0.60938</cdr:y>
    </cdr:from>
    <cdr:to>
      <cdr:x>0.30625</cdr:x>
      <cdr:y>0.67882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1975" y="1671638"/>
          <a:ext cx="8382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No Problems</a:t>
          </a:r>
        </a:p>
      </cdr:txBody>
    </cdr:sp>
  </cdr:relSizeAnchor>
  <cdr:relSizeAnchor xmlns:cdr="http://schemas.openxmlformats.org/drawingml/2006/chartDrawing">
    <cdr:from>
      <cdr:x>0.25625</cdr:x>
      <cdr:y>0.07465</cdr:y>
    </cdr:from>
    <cdr:to>
      <cdr:x>0.51667</cdr:x>
      <cdr:y>0.13715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71575" y="204788"/>
          <a:ext cx="119062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Minor Issues</a:t>
          </a:r>
        </a:p>
      </cdr:txBody>
    </cdr:sp>
  </cdr:relSizeAnchor>
  <cdr:relSizeAnchor xmlns:cdr="http://schemas.openxmlformats.org/drawingml/2006/chartDrawing">
    <cdr:from>
      <cdr:x>0.42083</cdr:x>
      <cdr:y>0.72049</cdr:y>
    </cdr:from>
    <cdr:to>
      <cdr:x>0.61875</cdr:x>
      <cdr:y>0.88716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924035" y="1976442"/>
          <a:ext cx="904890" cy="457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 b="1"/>
            <a:t>Substantive Issues</a:t>
          </a:r>
        </a:p>
      </cdr:txBody>
    </cdr:sp>
  </cdr:relSizeAnchor>
  <cdr:relSizeAnchor xmlns:cdr="http://schemas.openxmlformats.org/drawingml/2006/chartDrawing">
    <cdr:from>
      <cdr:x>0.62708</cdr:x>
      <cdr:y>0.7066</cdr:y>
    </cdr:from>
    <cdr:to>
      <cdr:x>0.85</cdr:x>
      <cdr:y>0.8316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867025" y="1938338"/>
          <a:ext cx="10191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900"/>
        </a:p>
      </cdr:txBody>
    </cdr:sp>
  </cdr:relSizeAnchor>
  <cdr:relSizeAnchor xmlns:cdr="http://schemas.openxmlformats.org/drawingml/2006/chartDrawing">
    <cdr:from>
      <cdr:x>0.55416</cdr:x>
      <cdr:y>0.71701</cdr:y>
    </cdr:from>
    <cdr:to>
      <cdr:x>0.80208</cdr:x>
      <cdr:y>0.8559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533635" y="1966905"/>
          <a:ext cx="1133490" cy="3810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 b="1"/>
            <a:t>Significant Issues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F355-5AA9-47F0-893F-B7360AA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McGoff</dc:creator>
  <cp:lastModifiedBy>Melissa Beck</cp:lastModifiedBy>
  <cp:revision>2</cp:revision>
  <dcterms:created xsi:type="dcterms:W3CDTF">2015-04-29T14:23:00Z</dcterms:created>
  <dcterms:modified xsi:type="dcterms:W3CDTF">2015-04-29T14:23:00Z</dcterms:modified>
</cp:coreProperties>
</file>